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E733C2" w14:textId="77777777" w:rsidR="00256F78" w:rsidRPr="00956EE3" w:rsidRDefault="00956EE3">
      <w:pPr>
        <w:rPr>
          <w:b/>
          <w:bCs/>
          <w:u w:val="single"/>
        </w:rPr>
      </w:pPr>
      <w:r>
        <w:rPr>
          <w:b/>
          <w:bCs/>
          <w:noProof/>
          <w:u w:val="single"/>
        </w:rPr>
        <w:drawing>
          <wp:anchor distT="0" distB="0" distL="114300" distR="114300" simplePos="0" relativeHeight="251658240" behindDoc="0" locked="0" layoutInCell="1" allowOverlap="1" wp14:anchorId="1584B9C8" wp14:editId="1FD7DDD6">
            <wp:simplePos x="0" y="0"/>
            <wp:positionH relativeFrom="column">
              <wp:posOffset>5139055</wp:posOffset>
            </wp:positionH>
            <wp:positionV relativeFrom="paragraph">
              <wp:posOffset>-633095</wp:posOffset>
            </wp:positionV>
            <wp:extent cx="602615" cy="628650"/>
            <wp:effectExtent l="0" t="0" r="698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ieu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2615" cy="628650"/>
                    </a:xfrm>
                    <a:prstGeom prst="rect">
                      <a:avLst/>
                    </a:prstGeom>
                  </pic:spPr>
                </pic:pic>
              </a:graphicData>
            </a:graphic>
            <wp14:sizeRelH relativeFrom="page">
              <wp14:pctWidth>0</wp14:pctWidth>
            </wp14:sizeRelH>
            <wp14:sizeRelV relativeFrom="page">
              <wp14:pctHeight>0</wp14:pctHeight>
            </wp14:sizeRelV>
          </wp:anchor>
        </w:drawing>
      </w:r>
      <w:r w:rsidRPr="00956EE3">
        <w:rPr>
          <w:b/>
          <w:bCs/>
          <w:u w:val="single"/>
        </w:rPr>
        <w:t xml:space="preserve">Verwerking schoolprioriteiten 2020 – 2021 </w:t>
      </w:r>
    </w:p>
    <w:tbl>
      <w:tblPr>
        <w:tblStyle w:val="Tabelraster"/>
        <w:tblW w:w="0" w:type="auto"/>
        <w:tblLook w:val="04A0" w:firstRow="1" w:lastRow="0" w:firstColumn="1" w:lastColumn="0" w:noHBand="0" w:noVBand="1"/>
      </w:tblPr>
      <w:tblGrid>
        <w:gridCol w:w="9062"/>
      </w:tblGrid>
      <w:tr w:rsidR="00956EE3" w14:paraId="676D7FEB" w14:textId="77777777" w:rsidTr="00956EE3">
        <w:tc>
          <w:tcPr>
            <w:tcW w:w="9062" w:type="dxa"/>
          </w:tcPr>
          <w:p w14:paraId="49B95E8F" w14:textId="77777777" w:rsidR="00956EE3" w:rsidRPr="00956EE3" w:rsidRDefault="00956EE3">
            <w:pPr>
              <w:rPr>
                <w:b/>
                <w:bCs/>
              </w:rPr>
            </w:pPr>
            <w:r w:rsidRPr="00956EE3">
              <w:rPr>
                <w:b/>
                <w:bCs/>
              </w:rPr>
              <w:t>Gekozen onderde(e)l(en)l: omschrijving</w:t>
            </w:r>
            <w:r>
              <w:rPr>
                <w:b/>
                <w:bCs/>
              </w:rPr>
              <w:t xml:space="preserve"> / probleemstelling</w:t>
            </w:r>
          </w:p>
        </w:tc>
      </w:tr>
      <w:tr w:rsidR="00956EE3" w14:paraId="428B7A35" w14:textId="77777777" w:rsidTr="00956EE3">
        <w:tc>
          <w:tcPr>
            <w:tcW w:w="9062" w:type="dxa"/>
          </w:tcPr>
          <w:p w14:paraId="6ED150C1" w14:textId="77777777" w:rsidR="00956EE3" w:rsidRDefault="00956EE3"/>
          <w:p w14:paraId="6F13FC03" w14:textId="072A28A4" w:rsidR="00956EE3" w:rsidRDefault="006F1CE9">
            <w:r>
              <w:t>Straffen en belonen</w:t>
            </w:r>
          </w:p>
          <w:p w14:paraId="6CB801B0" w14:textId="77777777" w:rsidR="00956EE3" w:rsidRDefault="00956EE3"/>
          <w:p w14:paraId="6A25ADDA" w14:textId="77777777" w:rsidR="00956EE3" w:rsidRDefault="00956EE3"/>
        </w:tc>
      </w:tr>
    </w:tbl>
    <w:p w14:paraId="7BDC2050" w14:textId="77777777" w:rsidR="00956EE3" w:rsidRDefault="00956EE3"/>
    <w:tbl>
      <w:tblPr>
        <w:tblStyle w:val="Tabelraster"/>
        <w:tblW w:w="0" w:type="auto"/>
        <w:tblLook w:val="04A0" w:firstRow="1" w:lastRow="0" w:firstColumn="1" w:lastColumn="0" w:noHBand="0" w:noVBand="1"/>
      </w:tblPr>
      <w:tblGrid>
        <w:gridCol w:w="4531"/>
        <w:gridCol w:w="4531"/>
      </w:tblGrid>
      <w:tr w:rsidR="00956EE3" w14:paraId="49DDE617" w14:textId="77777777" w:rsidTr="00CA3E62">
        <w:tc>
          <w:tcPr>
            <w:tcW w:w="9062" w:type="dxa"/>
            <w:gridSpan w:val="2"/>
          </w:tcPr>
          <w:p w14:paraId="46D08DD4" w14:textId="77777777" w:rsidR="00956EE3" w:rsidRPr="00956EE3" w:rsidRDefault="00956EE3">
            <w:pPr>
              <w:rPr>
                <w:b/>
                <w:bCs/>
              </w:rPr>
            </w:pPr>
            <w:r w:rsidRPr="00956EE3">
              <w:rPr>
                <w:b/>
                <w:bCs/>
              </w:rPr>
              <w:t>Urgentieniveau: (kruisje plaatsen)</w:t>
            </w:r>
          </w:p>
        </w:tc>
      </w:tr>
      <w:tr w:rsidR="00956EE3" w14:paraId="384A1167" w14:textId="77777777" w:rsidTr="00956EE3">
        <w:tc>
          <w:tcPr>
            <w:tcW w:w="4531" w:type="dxa"/>
          </w:tcPr>
          <w:p w14:paraId="60D0E5A8" w14:textId="77777777" w:rsidR="00956EE3" w:rsidRDefault="00956EE3">
            <w:r>
              <w:t>Dringend</w:t>
            </w:r>
          </w:p>
        </w:tc>
        <w:tc>
          <w:tcPr>
            <w:tcW w:w="4531" w:type="dxa"/>
          </w:tcPr>
          <w:p w14:paraId="49074E0C" w14:textId="77777777" w:rsidR="00956EE3" w:rsidRDefault="00956EE3">
            <w:r>
              <w:t>Minder dringend</w:t>
            </w:r>
          </w:p>
        </w:tc>
      </w:tr>
      <w:tr w:rsidR="00956EE3" w14:paraId="35C5DABE" w14:textId="77777777" w:rsidTr="00956EE3">
        <w:tc>
          <w:tcPr>
            <w:tcW w:w="4531" w:type="dxa"/>
          </w:tcPr>
          <w:p w14:paraId="0C8A7D9A" w14:textId="77777777" w:rsidR="00956EE3" w:rsidRDefault="00956EE3"/>
          <w:p w14:paraId="380146FA" w14:textId="033EE36F" w:rsidR="00956EE3" w:rsidRDefault="00C6069F">
            <w:r>
              <w:t>X</w:t>
            </w:r>
          </w:p>
          <w:p w14:paraId="240CA9FB" w14:textId="77777777" w:rsidR="00956EE3" w:rsidRDefault="00956EE3"/>
        </w:tc>
        <w:tc>
          <w:tcPr>
            <w:tcW w:w="4531" w:type="dxa"/>
          </w:tcPr>
          <w:p w14:paraId="14E1CEC3" w14:textId="77777777" w:rsidR="00956EE3" w:rsidRDefault="00956EE3"/>
        </w:tc>
      </w:tr>
    </w:tbl>
    <w:p w14:paraId="026584F1" w14:textId="77777777" w:rsidR="00956EE3" w:rsidRDefault="00956EE3"/>
    <w:tbl>
      <w:tblPr>
        <w:tblStyle w:val="Tabelraster"/>
        <w:tblW w:w="0" w:type="auto"/>
        <w:tblLook w:val="04A0" w:firstRow="1" w:lastRow="0" w:firstColumn="1" w:lastColumn="0" w:noHBand="0" w:noVBand="1"/>
      </w:tblPr>
      <w:tblGrid>
        <w:gridCol w:w="4531"/>
        <w:gridCol w:w="4531"/>
      </w:tblGrid>
      <w:tr w:rsidR="00956EE3" w14:paraId="0ACA714A" w14:textId="77777777" w:rsidTr="007F491A">
        <w:tc>
          <w:tcPr>
            <w:tcW w:w="9062" w:type="dxa"/>
            <w:gridSpan w:val="2"/>
          </w:tcPr>
          <w:p w14:paraId="0BA9C3D5" w14:textId="77777777" w:rsidR="00956EE3" w:rsidRPr="00956EE3" w:rsidRDefault="00956EE3">
            <w:pPr>
              <w:rPr>
                <w:b/>
                <w:bCs/>
              </w:rPr>
            </w:pPr>
            <w:r w:rsidRPr="00956EE3">
              <w:rPr>
                <w:b/>
                <w:bCs/>
              </w:rPr>
              <w:t>Aan te pakken tijdens: (kruisje plaatsen)</w:t>
            </w:r>
          </w:p>
        </w:tc>
      </w:tr>
      <w:tr w:rsidR="00956EE3" w14:paraId="072EB3B8" w14:textId="77777777" w:rsidTr="00956EE3">
        <w:tc>
          <w:tcPr>
            <w:tcW w:w="4531" w:type="dxa"/>
          </w:tcPr>
          <w:p w14:paraId="1368E31E" w14:textId="77777777" w:rsidR="00956EE3" w:rsidRDefault="00956EE3">
            <w:r>
              <w:t>Pedagogische studiedag(en)</w:t>
            </w:r>
          </w:p>
        </w:tc>
        <w:tc>
          <w:tcPr>
            <w:tcW w:w="4531" w:type="dxa"/>
          </w:tcPr>
          <w:p w14:paraId="39DDA5CE" w14:textId="1A7F9E56" w:rsidR="00956EE3" w:rsidRDefault="00956EE3"/>
        </w:tc>
      </w:tr>
      <w:tr w:rsidR="00956EE3" w14:paraId="1E2EAF27" w14:textId="77777777" w:rsidTr="00956EE3">
        <w:tc>
          <w:tcPr>
            <w:tcW w:w="4531" w:type="dxa"/>
          </w:tcPr>
          <w:p w14:paraId="25B15231" w14:textId="77777777" w:rsidR="00956EE3" w:rsidRDefault="00956EE3">
            <w:r>
              <w:t>Personeelsvergadering(en)</w:t>
            </w:r>
          </w:p>
        </w:tc>
        <w:tc>
          <w:tcPr>
            <w:tcW w:w="4531" w:type="dxa"/>
          </w:tcPr>
          <w:p w14:paraId="1EAAEC0F" w14:textId="2CE9F860" w:rsidR="00956EE3" w:rsidRDefault="006F1CE9">
            <w:r>
              <w:t>X</w:t>
            </w:r>
          </w:p>
        </w:tc>
      </w:tr>
      <w:tr w:rsidR="00956EE3" w14:paraId="38FBBED7" w14:textId="77777777" w:rsidTr="00956EE3">
        <w:tc>
          <w:tcPr>
            <w:tcW w:w="4531" w:type="dxa"/>
          </w:tcPr>
          <w:p w14:paraId="00022B63" w14:textId="77777777" w:rsidR="00956EE3" w:rsidRDefault="00956EE3">
            <w:r>
              <w:t>Nascholing(en)</w:t>
            </w:r>
          </w:p>
        </w:tc>
        <w:tc>
          <w:tcPr>
            <w:tcW w:w="4531" w:type="dxa"/>
          </w:tcPr>
          <w:p w14:paraId="6E471BA0" w14:textId="0CBFCE7D" w:rsidR="00956EE3" w:rsidRDefault="00C6069F">
            <w:r>
              <w:t xml:space="preserve">X </w:t>
            </w:r>
          </w:p>
        </w:tc>
      </w:tr>
    </w:tbl>
    <w:p w14:paraId="2CD50D28" w14:textId="77777777" w:rsidR="00956EE3" w:rsidRDefault="00956EE3"/>
    <w:tbl>
      <w:tblPr>
        <w:tblStyle w:val="Tabelraster"/>
        <w:tblW w:w="0" w:type="auto"/>
        <w:tblLook w:val="04A0" w:firstRow="1" w:lastRow="0" w:firstColumn="1" w:lastColumn="0" w:noHBand="0" w:noVBand="1"/>
      </w:tblPr>
      <w:tblGrid>
        <w:gridCol w:w="9062"/>
      </w:tblGrid>
      <w:tr w:rsidR="00956EE3" w14:paraId="6BC473A0" w14:textId="77777777" w:rsidTr="00956EE3">
        <w:tc>
          <w:tcPr>
            <w:tcW w:w="9062" w:type="dxa"/>
          </w:tcPr>
          <w:p w14:paraId="04668336" w14:textId="77777777" w:rsidR="00956EE3" w:rsidRPr="00956EE3" w:rsidRDefault="00956EE3">
            <w:pPr>
              <w:rPr>
                <w:b/>
                <w:bCs/>
              </w:rPr>
            </w:pPr>
            <w:r w:rsidRPr="00956EE3">
              <w:rPr>
                <w:b/>
                <w:bCs/>
              </w:rPr>
              <w:t>Ondersteuning door:</w:t>
            </w:r>
          </w:p>
        </w:tc>
      </w:tr>
      <w:tr w:rsidR="00956EE3" w14:paraId="63B61422" w14:textId="77777777" w:rsidTr="00956EE3">
        <w:tc>
          <w:tcPr>
            <w:tcW w:w="9062" w:type="dxa"/>
          </w:tcPr>
          <w:p w14:paraId="6A94A620" w14:textId="1EC41207" w:rsidR="00956EE3" w:rsidRDefault="00397F90">
            <w:r>
              <w:t>U Antwerpen</w:t>
            </w:r>
          </w:p>
        </w:tc>
      </w:tr>
    </w:tbl>
    <w:p w14:paraId="5B2F3584" w14:textId="77777777" w:rsidR="00956EE3" w:rsidRDefault="00956EE3"/>
    <w:tbl>
      <w:tblPr>
        <w:tblStyle w:val="Tabelraster"/>
        <w:tblW w:w="0" w:type="auto"/>
        <w:tblLook w:val="04A0" w:firstRow="1" w:lastRow="0" w:firstColumn="1" w:lastColumn="0" w:noHBand="0" w:noVBand="1"/>
      </w:tblPr>
      <w:tblGrid>
        <w:gridCol w:w="6785"/>
        <w:gridCol w:w="1115"/>
        <w:gridCol w:w="1162"/>
      </w:tblGrid>
      <w:tr w:rsidR="00956EE3" w14:paraId="4BA5B161" w14:textId="77777777" w:rsidTr="00956EE3">
        <w:tc>
          <w:tcPr>
            <w:tcW w:w="6785" w:type="dxa"/>
          </w:tcPr>
          <w:p w14:paraId="3D24E8A3" w14:textId="77777777" w:rsidR="00956EE3" w:rsidRPr="00956EE3" w:rsidRDefault="00956EE3">
            <w:pPr>
              <w:rPr>
                <w:b/>
                <w:bCs/>
              </w:rPr>
            </w:pPr>
            <w:r w:rsidRPr="00956EE3">
              <w:rPr>
                <w:b/>
                <w:bCs/>
              </w:rPr>
              <w:t>Actie(s) + doel(en)</w:t>
            </w:r>
          </w:p>
        </w:tc>
        <w:tc>
          <w:tcPr>
            <w:tcW w:w="1115" w:type="dxa"/>
          </w:tcPr>
          <w:p w14:paraId="4BFD8D55" w14:textId="77777777" w:rsidR="00956EE3" w:rsidRPr="00956EE3" w:rsidRDefault="00956EE3">
            <w:pPr>
              <w:rPr>
                <w:b/>
                <w:bCs/>
              </w:rPr>
            </w:pPr>
            <w:r>
              <w:rPr>
                <w:b/>
                <w:bCs/>
              </w:rPr>
              <w:t xml:space="preserve">Volgorde </w:t>
            </w:r>
          </w:p>
        </w:tc>
        <w:tc>
          <w:tcPr>
            <w:tcW w:w="1162" w:type="dxa"/>
          </w:tcPr>
          <w:p w14:paraId="5923C0BB" w14:textId="77777777" w:rsidR="00956EE3" w:rsidRDefault="00956EE3">
            <w:pPr>
              <w:rPr>
                <w:b/>
                <w:bCs/>
              </w:rPr>
            </w:pPr>
            <w:r>
              <w:rPr>
                <w:b/>
                <w:bCs/>
              </w:rPr>
              <w:t>Wanneer?</w:t>
            </w:r>
          </w:p>
        </w:tc>
      </w:tr>
      <w:tr w:rsidR="00956EE3" w14:paraId="66BAE6E0" w14:textId="77777777" w:rsidTr="00956EE3">
        <w:tc>
          <w:tcPr>
            <w:tcW w:w="6785" w:type="dxa"/>
          </w:tcPr>
          <w:p w14:paraId="2E92C236" w14:textId="77777777" w:rsidR="00956EE3" w:rsidRDefault="00956EE3">
            <w:r>
              <w:t>Wat doen we?</w:t>
            </w:r>
          </w:p>
          <w:p w14:paraId="399F86B2" w14:textId="3BC40E99" w:rsidR="00956EE3" w:rsidRDefault="00397F90" w:rsidP="008C2298">
            <w:r>
              <w:t>Bijscholing U Antwerpen / zorgleerkrachten</w:t>
            </w:r>
          </w:p>
          <w:p w14:paraId="347BAA1E" w14:textId="20856C7C" w:rsidR="008C2298" w:rsidRDefault="008C2298" w:rsidP="008C2298"/>
        </w:tc>
        <w:tc>
          <w:tcPr>
            <w:tcW w:w="1115" w:type="dxa"/>
          </w:tcPr>
          <w:p w14:paraId="073A1D10" w14:textId="6BB79332" w:rsidR="00956EE3" w:rsidRDefault="00397F90">
            <w:r>
              <w:t>1</w:t>
            </w:r>
          </w:p>
        </w:tc>
        <w:tc>
          <w:tcPr>
            <w:tcW w:w="1162" w:type="dxa"/>
          </w:tcPr>
          <w:p w14:paraId="5B79B252" w14:textId="6C1DA4CA" w:rsidR="00956EE3" w:rsidRDefault="00397F90">
            <w:r>
              <w:t>5/03/</w:t>
            </w:r>
            <w:r w:rsidR="00337264">
              <w:t>’</w:t>
            </w:r>
            <w:r>
              <w:t>21</w:t>
            </w:r>
          </w:p>
        </w:tc>
      </w:tr>
      <w:tr w:rsidR="00956EE3" w14:paraId="2219E119" w14:textId="77777777" w:rsidTr="00956EE3">
        <w:tc>
          <w:tcPr>
            <w:tcW w:w="6785" w:type="dxa"/>
          </w:tcPr>
          <w:p w14:paraId="2B381F94" w14:textId="77777777" w:rsidR="00956EE3" w:rsidRDefault="00956EE3">
            <w:r>
              <w:t>Waarom?</w:t>
            </w:r>
          </w:p>
          <w:p w14:paraId="23204271" w14:textId="53F80FEB" w:rsidR="00956EE3" w:rsidRDefault="00397F90">
            <w:r>
              <w:t>Betere theoretische achtergrond</w:t>
            </w:r>
          </w:p>
          <w:p w14:paraId="27A19C14" w14:textId="77777777" w:rsidR="00956EE3" w:rsidRDefault="00956EE3"/>
        </w:tc>
        <w:tc>
          <w:tcPr>
            <w:tcW w:w="1115" w:type="dxa"/>
          </w:tcPr>
          <w:p w14:paraId="7DED797D" w14:textId="77777777" w:rsidR="00956EE3" w:rsidRDefault="00956EE3"/>
        </w:tc>
        <w:tc>
          <w:tcPr>
            <w:tcW w:w="1162" w:type="dxa"/>
          </w:tcPr>
          <w:p w14:paraId="1A5AA287" w14:textId="77777777" w:rsidR="00956EE3" w:rsidRDefault="00956EE3"/>
        </w:tc>
      </w:tr>
      <w:tr w:rsidR="00397F90" w14:paraId="14108087" w14:textId="77777777" w:rsidTr="00956EE3">
        <w:tc>
          <w:tcPr>
            <w:tcW w:w="6785" w:type="dxa"/>
          </w:tcPr>
          <w:p w14:paraId="6B8A91FD" w14:textId="77777777" w:rsidR="00397F90" w:rsidRDefault="00397F90" w:rsidP="00397F90">
            <w:r>
              <w:t>Wat doen we?</w:t>
            </w:r>
          </w:p>
          <w:p w14:paraId="3E0F844E" w14:textId="77777777" w:rsidR="00397F90" w:rsidRDefault="00397F90" w:rsidP="00397F90">
            <w:r>
              <w:t>Gelijkvormige visie ontwikkelen / kernteam + PV</w:t>
            </w:r>
          </w:p>
          <w:p w14:paraId="6F41BE66" w14:textId="77777777" w:rsidR="00397F90" w:rsidRDefault="00397F90"/>
        </w:tc>
        <w:tc>
          <w:tcPr>
            <w:tcW w:w="1115" w:type="dxa"/>
          </w:tcPr>
          <w:p w14:paraId="4832516E" w14:textId="37C3611E" w:rsidR="00397F90" w:rsidRDefault="00397F90">
            <w:r>
              <w:t>2</w:t>
            </w:r>
          </w:p>
        </w:tc>
        <w:tc>
          <w:tcPr>
            <w:tcW w:w="1162" w:type="dxa"/>
          </w:tcPr>
          <w:p w14:paraId="4D6AC4E6" w14:textId="4A137447" w:rsidR="00397F90" w:rsidRDefault="00CC6E43">
            <w:r>
              <w:t>KT15</w:t>
            </w:r>
          </w:p>
        </w:tc>
      </w:tr>
      <w:tr w:rsidR="00397F90" w14:paraId="45873579" w14:textId="77777777" w:rsidTr="00956EE3">
        <w:tc>
          <w:tcPr>
            <w:tcW w:w="6785" w:type="dxa"/>
          </w:tcPr>
          <w:p w14:paraId="679E346C" w14:textId="77777777" w:rsidR="00397F90" w:rsidRDefault="00397F90" w:rsidP="00397F90">
            <w:r>
              <w:t>Waarom?</w:t>
            </w:r>
          </w:p>
          <w:p w14:paraId="3B4DEE7F" w14:textId="77777777" w:rsidR="00397F90" w:rsidRDefault="00397F90" w:rsidP="00397F90">
            <w:r>
              <w:t>Uniformiteit en structuur brengt rust</w:t>
            </w:r>
          </w:p>
          <w:p w14:paraId="4FC62A2B" w14:textId="77777777" w:rsidR="00397F90" w:rsidRDefault="00397F90"/>
        </w:tc>
        <w:tc>
          <w:tcPr>
            <w:tcW w:w="1115" w:type="dxa"/>
          </w:tcPr>
          <w:p w14:paraId="004CA2BE" w14:textId="77777777" w:rsidR="00397F90" w:rsidRDefault="00397F90"/>
        </w:tc>
        <w:tc>
          <w:tcPr>
            <w:tcW w:w="1162" w:type="dxa"/>
          </w:tcPr>
          <w:p w14:paraId="170C14D0" w14:textId="77777777" w:rsidR="00397F90" w:rsidRDefault="00397F90"/>
        </w:tc>
      </w:tr>
      <w:tr w:rsidR="00956EE3" w14:paraId="4EF2DFE5" w14:textId="77777777" w:rsidTr="00956EE3">
        <w:tc>
          <w:tcPr>
            <w:tcW w:w="6785" w:type="dxa"/>
          </w:tcPr>
          <w:p w14:paraId="55DD3D91" w14:textId="77777777" w:rsidR="00956EE3" w:rsidRDefault="00956EE3" w:rsidP="00956EE3">
            <w:r>
              <w:t>Wat doen we?</w:t>
            </w:r>
          </w:p>
          <w:p w14:paraId="33D3845C" w14:textId="6676F311" w:rsidR="008C2298" w:rsidRDefault="00397F90" w:rsidP="008C2298">
            <w:r>
              <w:t>Theorie doorgeven aan het ganse team  / zorgleerkrachten</w:t>
            </w:r>
          </w:p>
          <w:p w14:paraId="60BBD0B4" w14:textId="7E8AF485" w:rsidR="00397F90" w:rsidRDefault="00397F90" w:rsidP="008C2298"/>
        </w:tc>
        <w:tc>
          <w:tcPr>
            <w:tcW w:w="1115" w:type="dxa"/>
          </w:tcPr>
          <w:p w14:paraId="20427750" w14:textId="693CA8D2" w:rsidR="00956EE3" w:rsidRDefault="00397F90" w:rsidP="00956EE3">
            <w:r>
              <w:t>3</w:t>
            </w:r>
          </w:p>
        </w:tc>
        <w:tc>
          <w:tcPr>
            <w:tcW w:w="1162" w:type="dxa"/>
          </w:tcPr>
          <w:p w14:paraId="42B9AAA1" w14:textId="40ECB430" w:rsidR="00956EE3" w:rsidRDefault="00397F90" w:rsidP="00956EE3">
            <w:r>
              <w:t>P</w:t>
            </w:r>
            <w:r w:rsidR="00CC6E43">
              <w:t>ed. Studiedag</w:t>
            </w:r>
          </w:p>
          <w:p w14:paraId="30E7FD73" w14:textId="099B6575" w:rsidR="00CC6E43" w:rsidRDefault="00CC6E43" w:rsidP="00956EE3">
            <w:r>
              <w:t>10/03</w:t>
            </w:r>
          </w:p>
        </w:tc>
      </w:tr>
      <w:tr w:rsidR="00956EE3" w14:paraId="61488659" w14:textId="77777777" w:rsidTr="00956EE3">
        <w:tc>
          <w:tcPr>
            <w:tcW w:w="6785" w:type="dxa"/>
          </w:tcPr>
          <w:p w14:paraId="56843A18" w14:textId="77777777" w:rsidR="00956EE3" w:rsidRDefault="00956EE3" w:rsidP="00956EE3">
            <w:r>
              <w:t>Waarom?</w:t>
            </w:r>
          </w:p>
          <w:p w14:paraId="29B585C2" w14:textId="77777777" w:rsidR="00956EE3" w:rsidRDefault="00956EE3" w:rsidP="00956EE3"/>
          <w:p w14:paraId="33D9318E" w14:textId="77777777" w:rsidR="00956EE3" w:rsidRDefault="00956EE3" w:rsidP="00956EE3"/>
        </w:tc>
        <w:tc>
          <w:tcPr>
            <w:tcW w:w="1115" w:type="dxa"/>
          </w:tcPr>
          <w:p w14:paraId="2E4ED267" w14:textId="77777777" w:rsidR="00956EE3" w:rsidRDefault="00956EE3" w:rsidP="00956EE3"/>
        </w:tc>
        <w:tc>
          <w:tcPr>
            <w:tcW w:w="1162" w:type="dxa"/>
          </w:tcPr>
          <w:p w14:paraId="20EA8DA4" w14:textId="77777777" w:rsidR="00956EE3" w:rsidRDefault="00956EE3" w:rsidP="00956EE3"/>
        </w:tc>
      </w:tr>
    </w:tbl>
    <w:p w14:paraId="0EFA500E" w14:textId="77777777" w:rsidR="00956EE3" w:rsidRDefault="00956EE3" w:rsidP="00956EE3"/>
    <w:p w14:paraId="1656D928" w14:textId="77777777" w:rsidR="0037709E" w:rsidRDefault="0037709E" w:rsidP="00956EE3">
      <w:pPr>
        <w:rPr>
          <w:b/>
          <w:bCs/>
          <w:u w:val="single"/>
        </w:rPr>
      </w:pPr>
    </w:p>
    <w:p w14:paraId="475B6161" w14:textId="77777777" w:rsidR="0037709E" w:rsidRDefault="0037709E" w:rsidP="00956EE3">
      <w:pPr>
        <w:rPr>
          <w:b/>
          <w:bCs/>
          <w:u w:val="single"/>
        </w:rPr>
      </w:pPr>
    </w:p>
    <w:p w14:paraId="62F3DB35" w14:textId="77EA9818" w:rsidR="0037709E" w:rsidRDefault="0037709E" w:rsidP="00956EE3">
      <w:pPr>
        <w:rPr>
          <w:b/>
          <w:bCs/>
          <w:u w:val="single"/>
        </w:rPr>
      </w:pPr>
    </w:p>
    <w:p w14:paraId="7DD9CFCB" w14:textId="77777777" w:rsidR="008C2298" w:rsidRDefault="008C2298" w:rsidP="00956EE3">
      <w:pPr>
        <w:rPr>
          <w:b/>
          <w:bCs/>
          <w:u w:val="single"/>
        </w:rPr>
      </w:pPr>
    </w:p>
    <w:p w14:paraId="33DDE687" w14:textId="17B3ACAB" w:rsidR="00956EE3" w:rsidRPr="00956EE3" w:rsidRDefault="00956EE3" w:rsidP="00956EE3">
      <w:pPr>
        <w:rPr>
          <w:b/>
          <w:bCs/>
          <w:u w:val="single"/>
        </w:rPr>
      </w:pPr>
      <w:r w:rsidRPr="00956EE3">
        <w:rPr>
          <w:b/>
          <w:bCs/>
          <w:u w:val="single"/>
        </w:rPr>
        <w:lastRenderedPageBreak/>
        <w:t>UITWERKING PER STAP:</w:t>
      </w:r>
    </w:p>
    <w:p w14:paraId="2AE2C29D" w14:textId="77777777" w:rsidR="00397F90" w:rsidRPr="00397F90" w:rsidRDefault="00397F90" w:rsidP="00397F90">
      <w:pPr>
        <w:shd w:val="clear" w:color="auto" w:fill="FFFFFF"/>
        <w:spacing w:after="0" w:line="240" w:lineRule="auto"/>
        <w:rPr>
          <w:b/>
          <w:bCs/>
          <w:color w:val="004466"/>
          <w:sz w:val="16"/>
          <w:szCs w:val="16"/>
          <w:lang w:eastAsia="nl-BE"/>
        </w:rPr>
      </w:pPr>
      <w:r w:rsidRPr="00397F90">
        <w:rPr>
          <w:b/>
          <w:bCs/>
          <w:color w:val="004466"/>
          <w:sz w:val="16"/>
          <w:szCs w:val="16"/>
          <w:lang w:eastAsia="nl-BE"/>
        </w:rPr>
        <w:t>Moet er dan geen straf volgen?</w:t>
      </w:r>
    </w:p>
    <w:p w14:paraId="5850D0E8" w14:textId="77777777" w:rsidR="00397F90" w:rsidRPr="00397F90" w:rsidRDefault="00397F90" w:rsidP="00397F90">
      <w:pPr>
        <w:shd w:val="clear" w:color="auto" w:fill="FFFFFF"/>
        <w:spacing w:after="0" w:line="240" w:lineRule="auto"/>
        <w:rPr>
          <w:color w:val="333333"/>
          <w:sz w:val="16"/>
          <w:szCs w:val="16"/>
          <w:lang w:eastAsia="nl-BE"/>
        </w:rPr>
      </w:pPr>
      <w:r w:rsidRPr="00397F90">
        <w:rPr>
          <w:color w:val="333333"/>
          <w:sz w:val="16"/>
          <w:szCs w:val="16"/>
          <w:lang w:eastAsia="nl-BE"/>
        </w:rPr>
        <w:t>Na ongewenst gedrag hoor je vaak de vraag: “Moet er dan geen straf volgen?” En zo ja, welke straf moet dat dan zijn? Sommigen zijn voor, anderen zijn tegen. Het thema “straf” roept vaak heel wat emoties op in een team.</w:t>
      </w:r>
      <w:r w:rsidRPr="00397F90">
        <w:rPr>
          <w:color w:val="333333"/>
          <w:sz w:val="16"/>
          <w:szCs w:val="16"/>
          <w:lang w:eastAsia="nl-BE"/>
        </w:rPr>
        <w:br/>
        <w:t>Op deze inspiratiedag analyseren we het fenomeen “straf” en de ideeën en emoties die daarrond leven. We onderzoeken hoe we onze invloed op gedrag van leerlingen kunnen versterken op een in deze tijd legitieme manier, en wat de plaats van straf daarin wel of niet kan zijn.</w:t>
      </w:r>
    </w:p>
    <w:p w14:paraId="2F6B4640" w14:textId="77777777" w:rsidR="00397F90" w:rsidRPr="00397F90" w:rsidRDefault="00397F90" w:rsidP="00397F90">
      <w:pPr>
        <w:shd w:val="clear" w:color="auto" w:fill="FFFFFF"/>
        <w:spacing w:after="0" w:line="240" w:lineRule="auto"/>
        <w:rPr>
          <w:b/>
          <w:bCs/>
          <w:color w:val="004466"/>
          <w:sz w:val="16"/>
          <w:szCs w:val="16"/>
          <w:lang w:eastAsia="nl-BE"/>
        </w:rPr>
      </w:pPr>
      <w:r w:rsidRPr="00397F90">
        <w:rPr>
          <w:b/>
          <w:bCs/>
          <w:color w:val="004466"/>
          <w:sz w:val="16"/>
          <w:szCs w:val="16"/>
          <w:lang w:eastAsia="nl-BE"/>
        </w:rPr>
        <w:t>Programma</w:t>
      </w:r>
    </w:p>
    <w:p w14:paraId="4172C34A" w14:textId="77777777" w:rsidR="00397F90" w:rsidRPr="00397F90" w:rsidRDefault="00397F90" w:rsidP="00397F90">
      <w:pPr>
        <w:numPr>
          <w:ilvl w:val="0"/>
          <w:numId w:val="1"/>
        </w:numPr>
        <w:shd w:val="clear" w:color="auto" w:fill="FFFFFF"/>
        <w:spacing w:after="0" w:line="240" w:lineRule="auto"/>
        <w:rPr>
          <w:rFonts w:eastAsia="Times New Roman"/>
          <w:color w:val="333333"/>
          <w:sz w:val="16"/>
          <w:szCs w:val="16"/>
          <w:lang w:eastAsia="nl-BE"/>
        </w:rPr>
      </w:pPr>
      <w:r w:rsidRPr="00397F90">
        <w:rPr>
          <w:rFonts w:eastAsia="Times New Roman"/>
          <w:color w:val="333333"/>
          <w:sz w:val="16"/>
          <w:szCs w:val="16"/>
          <w:lang w:eastAsia="nl-BE"/>
        </w:rPr>
        <w:t>Straffen (en belonen): wat kan je er wél en niét mee bereiken? Wat zit achter de sterke emoties die het thema “straf” oproept? Waar gaat het écht over in de discussie over wel of geen straf geven?</w:t>
      </w:r>
    </w:p>
    <w:p w14:paraId="6ABAD701" w14:textId="77777777" w:rsidR="00397F90" w:rsidRPr="00397F90" w:rsidRDefault="00397F90" w:rsidP="00397F90">
      <w:pPr>
        <w:numPr>
          <w:ilvl w:val="0"/>
          <w:numId w:val="1"/>
        </w:numPr>
        <w:shd w:val="clear" w:color="auto" w:fill="FFFFFF"/>
        <w:spacing w:after="0" w:line="240" w:lineRule="auto"/>
        <w:rPr>
          <w:rFonts w:eastAsia="Times New Roman"/>
          <w:color w:val="333333"/>
          <w:sz w:val="16"/>
          <w:szCs w:val="16"/>
          <w:lang w:eastAsia="nl-BE"/>
        </w:rPr>
      </w:pPr>
      <w:r w:rsidRPr="00397F90">
        <w:rPr>
          <w:rFonts w:eastAsia="Times New Roman"/>
          <w:color w:val="333333"/>
          <w:sz w:val="16"/>
          <w:szCs w:val="16"/>
          <w:lang w:eastAsia="nl-BE"/>
        </w:rPr>
        <w:t>Een ruimer perspectief, geïnspireerd op Nieuwe Autoriteit (Haim Omer):</w:t>
      </w:r>
      <w:r w:rsidRPr="00397F90">
        <w:rPr>
          <w:rFonts w:eastAsia="Times New Roman"/>
          <w:color w:val="333333"/>
          <w:sz w:val="16"/>
          <w:szCs w:val="16"/>
          <w:lang w:eastAsia="nl-BE"/>
        </w:rPr>
        <w:br/>
        <w:t>- maatschappelijke evolutie in ons denken over opvoeding;</w:t>
      </w:r>
      <w:r w:rsidRPr="00397F90">
        <w:rPr>
          <w:rFonts w:eastAsia="Times New Roman"/>
          <w:color w:val="333333"/>
          <w:sz w:val="16"/>
          <w:szCs w:val="16"/>
          <w:lang w:eastAsia="nl-BE"/>
        </w:rPr>
        <w:br/>
        <w:t>- gevolgen voor onze visie op het omgaan met ongewenst gedrag;</w:t>
      </w:r>
      <w:r w:rsidRPr="00397F90">
        <w:rPr>
          <w:rFonts w:eastAsia="Times New Roman"/>
          <w:color w:val="333333"/>
          <w:sz w:val="16"/>
          <w:szCs w:val="16"/>
          <w:lang w:eastAsia="nl-BE"/>
        </w:rPr>
        <w:br/>
        <w:t>- de zoektocht naar een gezamenlijk perspectief, waarin alle leerkrachten en alle ouders zich kunnen vinden.</w:t>
      </w:r>
    </w:p>
    <w:p w14:paraId="1CD73B80" w14:textId="77777777" w:rsidR="00397F90" w:rsidRPr="00397F90" w:rsidRDefault="00397F90" w:rsidP="00397F90">
      <w:pPr>
        <w:numPr>
          <w:ilvl w:val="0"/>
          <w:numId w:val="1"/>
        </w:numPr>
        <w:shd w:val="clear" w:color="auto" w:fill="FFFFFF"/>
        <w:spacing w:after="0" w:line="240" w:lineRule="auto"/>
        <w:rPr>
          <w:rFonts w:eastAsia="Times New Roman"/>
          <w:color w:val="333333"/>
          <w:sz w:val="16"/>
          <w:szCs w:val="16"/>
          <w:lang w:eastAsia="nl-BE"/>
        </w:rPr>
      </w:pPr>
      <w:r w:rsidRPr="00397F90">
        <w:rPr>
          <w:rFonts w:eastAsia="Times New Roman"/>
          <w:color w:val="333333"/>
          <w:sz w:val="16"/>
          <w:szCs w:val="16"/>
          <w:lang w:eastAsia="nl-BE"/>
        </w:rPr>
        <w:t>Elementen voor een hedendaagse invulling van de rol van de leerkracht bij ongewenst gedrag van leerlingen:</w:t>
      </w:r>
      <w:r w:rsidRPr="00397F90">
        <w:rPr>
          <w:rFonts w:eastAsia="Times New Roman"/>
          <w:color w:val="333333"/>
          <w:sz w:val="16"/>
          <w:szCs w:val="16"/>
          <w:lang w:eastAsia="nl-BE"/>
        </w:rPr>
        <w:br/>
        <w:t>- duidelijk begrenzen van ongewenst gedrag vanuit de zorg voor een veilig leer- en leefklimaat en optimale groeikansen voor alle leerlingen;</w:t>
      </w:r>
      <w:r w:rsidRPr="00397F90">
        <w:rPr>
          <w:rFonts w:eastAsia="Times New Roman"/>
          <w:color w:val="333333"/>
          <w:sz w:val="16"/>
          <w:szCs w:val="16"/>
          <w:lang w:eastAsia="nl-BE"/>
        </w:rPr>
        <w:br/>
        <w:t>- met de nodige steun voor leerlingen die het extra moeilijk hebben om tot gewenst gedrag te komen;</w:t>
      </w:r>
      <w:r w:rsidRPr="00397F90">
        <w:rPr>
          <w:rFonts w:eastAsia="Times New Roman"/>
          <w:color w:val="333333"/>
          <w:sz w:val="16"/>
          <w:szCs w:val="16"/>
          <w:lang w:eastAsia="nl-BE"/>
        </w:rPr>
        <w:br/>
        <w:t>- gebaseerd op verbondenheid: tussen leerkrachten en kinderen, tussen kinderen onderling, tussen school en thuis.</w:t>
      </w:r>
    </w:p>
    <w:p w14:paraId="081253D4" w14:textId="77777777" w:rsidR="00397F90" w:rsidRPr="00397F90" w:rsidRDefault="00397F90" w:rsidP="00397F90">
      <w:pPr>
        <w:shd w:val="clear" w:color="auto" w:fill="FFFFFF"/>
        <w:spacing w:after="0" w:line="240" w:lineRule="auto"/>
        <w:rPr>
          <w:color w:val="333333"/>
          <w:sz w:val="16"/>
          <w:szCs w:val="16"/>
          <w:lang w:eastAsia="nl-BE"/>
        </w:rPr>
      </w:pPr>
      <w:r w:rsidRPr="00397F90">
        <w:rPr>
          <w:color w:val="333333"/>
          <w:sz w:val="16"/>
          <w:szCs w:val="16"/>
          <w:lang w:eastAsia="nl-BE"/>
        </w:rPr>
        <w:t>We laten ons hierbij inspireren door recente inzichten uit de psychologie, de hersenwetenschappen en de pedagogiek, én maken voortdurend de brug naar de concrete klas- en schoolpraktijk.</w:t>
      </w:r>
    </w:p>
    <w:p w14:paraId="42269394" w14:textId="77777777" w:rsidR="00397F90" w:rsidRPr="00397F90" w:rsidRDefault="00397F90" w:rsidP="00397F90">
      <w:pPr>
        <w:shd w:val="clear" w:color="auto" w:fill="FFFFFF"/>
        <w:spacing w:after="0" w:line="240" w:lineRule="auto"/>
        <w:rPr>
          <w:color w:val="333333"/>
          <w:sz w:val="16"/>
          <w:szCs w:val="16"/>
          <w:lang w:eastAsia="nl-BE"/>
        </w:rPr>
      </w:pPr>
      <w:r w:rsidRPr="00397F90">
        <w:rPr>
          <w:color w:val="333333"/>
          <w:sz w:val="16"/>
          <w:szCs w:val="16"/>
          <w:u w:val="single"/>
          <w:lang w:eastAsia="nl-BE"/>
        </w:rPr>
        <w:t>Werkwijze</w:t>
      </w:r>
      <w:r w:rsidRPr="00397F90">
        <w:rPr>
          <w:color w:val="333333"/>
          <w:sz w:val="16"/>
          <w:szCs w:val="16"/>
          <w:lang w:eastAsia="nl-BE"/>
        </w:rPr>
        <w:br/>
        <w:t>Je krijgt een afwisseling voorgeschoteld van korte stukjes theorie met reflectie-oefeningen, casusbespreking, filmpjes enz.</w:t>
      </w:r>
      <w:r w:rsidRPr="00397F90">
        <w:rPr>
          <w:color w:val="333333"/>
          <w:sz w:val="16"/>
          <w:szCs w:val="16"/>
          <w:lang w:eastAsia="nl-BE"/>
        </w:rPr>
        <w:br/>
        <w:t>Terugkoppeling naar jouw klas- en schoolpraktijk staat centraal.</w:t>
      </w:r>
    </w:p>
    <w:p w14:paraId="5CF86B02" w14:textId="77777777" w:rsidR="00397F90" w:rsidRPr="00397F90" w:rsidRDefault="00397F90" w:rsidP="00397F90">
      <w:pPr>
        <w:shd w:val="clear" w:color="auto" w:fill="FFFFFF"/>
        <w:spacing w:after="0" w:line="240" w:lineRule="auto"/>
        <w:rPr>
          <w:b/>
          <w:bCs/>
          <w:color w:val="004466"/>
          <w:sz w:val="16"/>
          <w:szCs w:val="16"/>
          <w:lang w:eastAsia="nl-BE"/>
        </w:rPr>
      </w:pPr>
      <w:r w:rsidRPr="00397F90">
        <w:rPr>
          <w:b/>
          <w:bCs/>
          <w:color w:val="004466"/>
          <w:sz w:val="16"/>
          <w:szCs w:val="16"/>
          <w:lang w:eastAsia="nl-BE"/>
        </w:rPr>
        <w:t>Doelstellingen</w:t>
      </w:r>
    </w:p>
    <w:p w14:paraId="412E0830" w14:textId="77777777" w:rsidR="00397F90" w:rsidRPr="00397F90" w:rsidRDefault="00397F90" w:rsidP="00397F90">
      <w:pPr>
        <w:shd w:val="clear" w:color="auto" w:fill="FFFFFF"/>
        <w:spacing w:after="0" w:line="240" w:lineRule="auto"/>
        <w:rPr>
          <w:color w:val="333333"/>
          <w:sz w:val="16"/>
          <w:szCs w:val="16"/>
          <w:lang w:eastAsia="nl-BE"/>
        </w:rPr>
      </w:pPr>
      <w:r w:rsidRPr="00397F90">
        <w:rPr>
          <w:color w:val="333333"/>
          <w:sz w:val="16"/>
          <w:szCs w:val="16"/>
          <w:lang w:eastAsia="nl-BE"/>
        </w:rPr>
        <w:t>De deelnemers:</w:t>
      </w:r>
    </w:p>
    <w:p w14:paraId="1DFCF8D3" w14:textId="77777777" w:rsidR="00397F90" w:rsidRPr="00397F90" w:rsidRDefault="00397F90" w:rsidP="00397F90">
      <w:pPr>
        <w:numPr>
          <w:ilvl w:val="0"/>
          <w:numId w:val="2"/>
        </w:numPr>
        <w:shd w:val="clear" w:color="auto" w:fill="FFFFFF"/>
        <w:spacing w:after="0" w:line="240" w:lineRule="auto"/>
        <w:rPr>
          <w:rFonts w:eastAsia="Times New Roman"/>
          <w:color w:val="333333"/>
          <w:sz w:val="16"/>
          <w:szCs w:val="16"/>
          <w:lang w:eastAsia="nl-BE"/>
        </w:rPr>
      </w:pPr>
      <w:r w:rsidRPr="00397F90">
        <w:rPr>
          <w:rFonts w:eastAsia="Times New Roman"/>
          <w:color w:val="333333"/>
          <w:sz w:val="16"/>
          <w:szCs w:val="16"/>
          <w:lang w:eastAsia="nl-BE"/>
        </w:rPr>
        <w:t>weten wat je met straf en belonen wel en niet kan bereiken,</w:t>
      </w:r>
    </w:p>
    <w:p w14:paraId="0CE272E6" w14:textId="77777777" w:rsidR="00397F90" w:rsidRPr="00397F90" w:rsidRDefault="00397F90" w:rsidP="00397F90">
      <w:pPr>
        <w:numPr>
          <w:ilvl w:val="0"/>
          <w:numId w:val="2"/>
        </w:numPr>
        <w:shd w:val="clear" w:color="auto" w:fill="FFFFFF"/>
        <w:spacing w:after="0" w:line="240" w:lineRule="auto"/>
        <w:rPr>
          <w:rFonts w:eastAsia="Times New Roman"/>
          <w:color w:val="333333"/>
          <w:sz w:val="16"/>
          <w:szCs w:val="16"/>
          <w:lang w:eastAsia="nl-BE"/>
        </w:rPr>
      </w:pPr>
      <w:r w:rsidRPr="00397F90">
        <w:rPr>
          <w:rFonts w:eastAsia="Times New Roman"/>
          <w:color w:val="333333"/>
          <w:sz w:val="16"/>
          <w:szCs w:val="16"/>
          <w:lang w:eastAsia="nl-BE"/>
        </w:rPr>
        <w:t>zien hoe je in deze tijd op een voor alle betrokkenen legitieme manier kan omgaan met ongewenst gedrag van leerlingen,</w:t>
      </w:r>
    </w:p>
    <w:p w14:paraId="665E9687" w14:textId="77777777" w:rsidR="00397F90" w:rsidRPr="00397F90" w:rsidRDefault="00397F90" w:rsidP="00397F90">
      <w:pPr>
        <w:numPr>
          <w:ilvl w:val="0"/>
          <w:numId w:val="2"/>
        </w:numPr>
        <w:shd w:val="clear" w:color="auto" w:fill="FFFFFF"/>
        <w:spacing w:after="0" w:line="240" w:lineRule="auto"/>
        <w:rPr>
          <w:rFonts w:eastAsia="Times New Roman"/>
          <w:color w:val="333333"/>
          <w:sz w:val="16"/>
          <w:szCs w:val="16"/>
          <w:lang w:eastAsia="nl-BE"/>
        </w:rPr>
      </w:pPr>
      <w:r w:rsidRPr="00397F90">
        <w:rPr>
          <w:rFonts w:eastAsia="Times New Roman"/>
          <w:color w:val="333333"/>
          <w:sz w:val="16"/>
          <w:szCs w:val="16"/>
          <w:lang w:eastAsia="nl-BE"/>
        </w:rPr>
        <w:t>hebben een aantal aanknopingspunten om met hun collega’s te reflecteren over de gezamenlijke aanpak van ongewenst gedrag.</w:t>
      </w:r>
    </w:p>
    <w:p w14:paraId="55C1A2FE" w14:textId="77777777" w:rsidR="00397F90" w:rsidRPr="00397F90" w:rsidRDefault="00397F90" w:rsidP="00397F90">
      <w:pPr>
        <w:shd w:val="clear" w:color="auto" w:fill="FFFFFF"/>
        <w:spacing w:after="0" w:line="240" w:lineRule="auto"/>
        <w:rPr>
          <w:b/>
          <w:bCs/>
          <w:color w:val="004466"/>
          <w:sz w:val="16"/>
          <w:szCs w:val="16"/>
          <w:lang w:eastAsia="nl-BE"/>
        </w:rPr>
      </w:pPr>
      <w:r w:rsidRPr="00397F90">
        <w:rPr>
          <w:b/>
          <w:bCs/>
          <w:color w:val="004466"/>
          <w:sz w:val="16"/>
          <w:szCs w:val="16"/>
          <w:lang w:eastAsia="nl-BE"/>
        </w:rPr>
        <w:t>Doelgroep</w:t>
      </w:r>
    </w:p>
    <w:p w14:paraId="0096BDF9" w14:textId="77777777" w:rsidR="00397F90" w:rsidRPr="00397F90" w:rsidRDefault="00397F90" w:rsidP="00397F90">
      <w:pPr>
        <w:shd w:val="clear" w:color="auto" w:fill="FFFFFF"/>
        <w:spacing w:after="0" w:line="240" w:lineRule="auto"/>
        <w:rPr>
          <w:color w:val="333333"/>
          <w:sz w:val="16"/>
          <w:szCs w:val="16"/>
          <w:lang w:eastAsia="nl-BE"/>
        </w:rPr>
      </w:pPr>
      <w:r w:rsidRPr="00397F90">
        <w:rPr>
          <w:color w:val="333333"/>
          <w:sz w:val="16"/>
          <w:szCs w:val="16"/>
          <w:lang w:eastAsia="nl-BE"/>
        </w:rPr>
        <w:t>Leerkrachten en zorgbegeleid(st)ers kleuter- en lager onderwijs.</w:t>
      </w:r>
    </w:p>
    <w:p w14:paraId="3202A8D0" w14:textId="77777777" w:rsidR="00397F90" w:rsidRPr="00397F90" w:rsidRDefault="00397F90" w:rsidP="00397F90">
      <w:pPr>
        <w:shd w:val="clear" w:color="auto" w:fill="FFFFFF"/>
        <w:spacing w:after="0" w:line="240" w:lineRule="auto"/>
        <w:rPr>
          <w:b/>
          <w:bCs/>
          <w:color w:val="004466"/>
          <w:sz w:val="16"/>
          <w:szCs w:val="16"/>
          <w:lang w:eastAsia="nl-BE"/>
        </w:rPr>
      </w:pPr>
      <w:r w:rsidRPr="00397F90">
        <w:rPr>
          <w:b/>
          <w:bCs/>
          <w:color w:val="004466"/>
          <w:sz w:val="16"/>
          <w:szCs w:val="16"/>
          <w:lang w:eastAsia="nl-BE"/>
        </w:rPr>
        <w:t>Begeleiding</w:t>
      </w:r>
    </w:p>
    <w:p w14:paraId="2B13059D" w14:textId="77777777" w:rsidR="00397F90" w:rsidRPr="00397F90" w:rsidRDefault="00397F90" w:rsidP="00397F90">
      <w:pPr>
        <w:shd w:val="clear" w:color="auto" w:fill="FFFFFF"/>
        <w:spacing w:after="0" w:line="240" w:lineRule="auto"/>
        <w:rPr>
          <w:color w:val="333333"/>
          <w:sz w:val="16"/>
          <w:szCs w:val="16"/>
          <w:lang w:eastAsia="nl-BE"/>
        </w:rPr>
      </w:pPr>
      <w:r w:rsidRPr="00397F90">
        <w:rPr>
          <w:color w:val="333333"/>
          <w:sz w:val="16"/>
          <w:szCs w:val="16"/>
          <w:lang w:eastAsia="nl-BE"/>
        </w:rPr>
        <w:t>Hilde Leonard, zelfstandig nascholer, gespecialiseerd in omgaan mét en voorkomen vàn allerlei vormen van ‘moeilijk’ gedrag en het versterken van sociale vaardigheden. Hilde is initiatiefneemster van het Vormingsnetwerk Nieuwe Autoriteit en Geweldloos Verzet op school.</w:t>
      </w:r>
    </w:p>
    <w:p w14:paraId="13CB130B" w14:textId="77777777" w:rsidR="00397F90" w:rsidRPr="00397F90" w:rsidRDefault="00397F90" w:rsidP="00397F90">
      <w:pPr>
        <w:shd w:val="clear" w:color="auto" w:fill="FFFFFF"/>
        <w:spacing w:after="0" w:line="240" w:lineRule="auto"/>
        <w:rPr>
          <w:b/>
          <w:bCs/>
          <w:color w:val="004466"/>
          <w:sz w:val="16"/>
          <w:szCs w:val="16"/>
          <w:lang w:eastAsia="nl-BE"/>
        </w:rPr>
      </w:pPr>
      <w:r w:rsidRPr="00397F90">
        <w:rPr>
          <w:b/>
          <w:bCs/>
          <w:color w:val="004466"/>
          <w:sz w:val="16"/>
          <w:szCs w:val="16"/>
          <w:lang w:eastAsia="nl-BE"/>
        </w:rPr>
        <w:t>Praktisch</w:t>
      </w:r>
    </w:p>
    <w:p w14:paraId="70A65543" w14:textId="77777777" w:rsidR="00397F90" w:rsidRPr="00397F90" w:rsidRDefault="00397F90" w:rsidP="00397F90">
      <w:pPr>
        <w:spacing w:after="0" w:line="240" w:lineRule="auto"/>
        <w:rPr>
          <w:sz w:val="16"/>
          <w:szCs w:val="16"/>
          <w:lang w:eastAsia="nl-BE"/>
        </w:rPr>
      </w:pPr>
      <w:r w:rsidRPr="00397F90">
        <w:rPr>
          <w:color w:val="333333"/>
          <w:sz w:val="16"/>
          <w:szCs w:val="16"/>
          <w:shd w:val="clear" w:color="auto" w:fill="FFFFFF"/>
          <w:lang w:eastAsia="nl-BE"/>
        </w:rPr>
        <w:t>Cursuscode: </w:t>
      </w:r>
      <w:r w:rsidRPr="00397F90">
        <w:rPr>
          <w:b/>
          <w:bCs/>
          <w:color w:val="333333"/>
          <w:sz w:val="16"/>
          <w:szCs w:val="16"/>
          <w:shd w:val="clear" w:color="auto" w:fill="FFFFFF"/>
          <w:lang w:eastAsia="nl-BE"/>
        </w:rPr>
        <w:t>20/BAS/011A</w:t>
      </w:r>
      <w:r w:rsidRPr="00397F90">
        <w:rPr>
          <w:color w:val="333333"/>
          <w:sz w:val="16"/>
          <w:szCs w:val="16"/>
          <w:lang w:eastAsia="nl-BE"/>
        </w:rPr>
        <w:br/>
      </w:r>
    </w:p>
    <w:p w14:paraId="3821DFBE" w14:textId="77777777" w:rsidR="00397F90" w:rsidRPr="00397F90" w:rsidRDefault="00397F90" w:rsidP="00397F90">
      <w:pPr>
        <w:shd w:val="clear" w:color="auto" w:fill="FFFFFF"/>
        <w:spacing w:after="0" w:line="240" w:lineRule="auto"/>
        <w:rPr>
          <w:color w:val="333333"/>
          <w:sz w:val="16"/>
          <w:szCs w:val="16"/>
          <w:lang w:eastAsia="nl-BE"/>
        </w:rPr>
      </w:pPr>
      <w:r w:rsidRPr="00397F90">
        <w:rPr>
          <w:color w:val="333333"/>
          <w:sz w:val="16"/>
          <w:szCs w:val="16"/>
          <w:lang w:eastAsia="nl-BE"/>
        </w:rPr>
        <w:t>Beperkt aantal deelnemers.</w:t>
      </w:r>
      <w:r w:rsidRPr="00397F90">
        <w:rPr>
          <w:color w:val="333333"/>
          <w:sz w:val="16"/>
          <w:szCs w:val="16"/>
          <w:lang w:eastAsia="nl-BE"/>
        </w:rPr>
        <w:br/>
        <w:t>Syllabus, drank en lunch (soep en broodjesmaaltijd) inbegrepen.</w:t>
      </w:r>
    </w:p>
    <w:p w14:paraId="06914994" w14:textId="77777777" w:rsidR="00397F90" w:rsidRPr="00397F90" w:rsidRDefault="00397F90" w:rsidP="00397F90">
      <w:pPr>
        <w:spacing w:after="0" w:line="240" w:lineRule="auto"/>
        <w:rPr>
          <w:sz w:val="16"/>
          <w:szCs w:val="16"/>
          <w:lang w:eastAsia="nl-BE"/>
        </w:rPr>
      </w:pPr>
      <w:r w:rsidRPr="00397F90">
        <w:rPr>
          <w:color w:val="333333"/>
          <w:sz w:val="16"/>
          <w:szCs w:val="16"/>
          <w:lang w:eastAsia="nl-BE"/>
        </w:rPr>
        <w:br/>
      </w:r>
      <w:r w:rsidRPr="00397F90">
        <w:rPr>
          <w:color w:val="333333"/>
          <w:sz w:val="16"/>
          <w:szCs w:val="16"/>
          <w:shd w:val="clear" w:color="auto" w:fill="FFFFFF"/>
          <w:lang w:eastAsia="nl-BE"/>
        </w:rPr>
        <w:t>Jouw bijdrage: 126 EUR.</w:t>
      </w:r>
      <w:r w:rsidRPr="00397F90">
        <w:rPr>
          <w:color w:val="333333"/>
          <w:sz w:val="16"/>
          <w:szCs w:val="16"/>
          <w:lang w:eastAsia="nl-BE"/>
        </w:rPr>
        <w:br/>
      </w:r>
      <w:r w:rsidRPr="00397F90">
        <w:rPr>
          <w:color w:val="333333"/>
          <w:sz w:val="16"/>
          <w:szCs w:val="16"/>
          <w:shd w:val="clear" w:color="auto" w:fill="FFFFFF"/>
          <w:lang w:eastAsia="nl-BE"/>
        </w:rPr>
        <w:t xml:space="preserve">Inlichtingen bij: Tamara Bonne, 03 265 29 89, </w:t>
      </w:r>
      <w:hyperlink r:id="rId9" w:history="1">
        <w:r w:rsidRPr="00397F90">
          <w:rPr>
            <w:rStyle w:val="Hyperlink"/>
            <w:sz w:val="16"/>
            <w:szCs w:val="16"/>
            <w:shd w:val="clear" w:color="auto" w:fill="FFFFFF"/>
            <w:lang w:eastAsia="nl-BE"/>
          </w:rPr>
          <w:t>tamara.bonne@uantwerpen.be</w:t>
        </w:r>
      </w:hyperlink>
    </w:p>
    <w:tbl>
      <w:tblPr>
        <w:tblW w:w="8619" w:type="dxa"/>
        <w:shd w:val="clear" w:color="auto" w:fill="FFFFFF"/>
        <w:tblCellMar>
          <w:left w:w="0" w:type="dxa"/>
          <w:right w:w="0" w:type="dxa"/>
        </w:tblCellMar>
        <w:tblLook w:val="04A0" w:firstRow="1" w:lastRow="0" w:firstColumn="1" w:lastColumn="0" w:noHBand="0" w:noVBand="1"/>
      </w:tblPr>
      <w:tblGrid>
        <w:gridCol w:w="2155"/>
        <w:gridCol w:w="862"/>
        <w:gridCol w:w="862"/>
        <w:gridCol w:w="4740"/>
      </w:tblGrid>
      <w:tr w:rsidR="00397F90" w:rsidRPr="00397F90" w14:paraId="44A9E1F2" w14:textId="77777777" w:rsidTr="00397F90">
        <w:trPr>
          <w:trHeight w:val="580"/>
          <w:tblHeader/>
        </w:trPr>
        <w:tc>
          <w:tcPr>
            <w:tcW w:w="1250" w:type="pct"/>
            <w:shd w:val="clear" w:color="auto" w:fill="FFFFFF"/>
            <w:tcMar>
              <w:top w:w="120" w:type="dxa"/>
              <w:left w:w="120" w:type="dxa"/>
              <w:bottom w:w="120" w:type="dxa"/>
              <w:right w:w="120" w:type="dxa"/>
            </w:tcMar>
            <w:hideMark/>
          </w:tcPr>
          <w:p w14:paraId="0EC0662B" w14:textId="77777777" w:rsidR="00397F90" w:rsidRPr="00397F90" w:rsidRDefault="00397F90" w:rsidP="00397F90">
            <w:pPr>
              <w:spacing w:after="0" w:line="240" w:lineRule="auto"/>
              <w:rPr>
                <w:color w:val="333333"/>
                <w:sz w:val="16"/>
                <w:szCs w:val="16"/>
                <w:lang w:eastAsia="nl-BE"/>
              </w:rPr>
            </w:pPr>
            <w:r w:rsidRPr="00397F90">
              <w:rPr>
                <w:color w:val="333333"/>
                <w:sz w:val="16"/>
                <w:szCs w:val="16"/>
                <w:lang w:eastAsia="nl-BE"/>
              </w:rPr>
              <w:t>Datum</w:t>
            </w:r>
          </w:p>
        </w:tc>
        <w:tc>
          <w:tcPr>
            <w:tcW w:w="500" w:type="pct"/>
            <w:shd w:val="clear" w:color="auto" w:fill="FFFFFF"/>
            <w:tcMar>
              <w:top w:w="120" w:type="dxa"/>
              <w:left w:w="120" w:type="dxa"/>
              <w:bottom w:w="120" w:type="dxa"/>
              <w:right w:w="120" w:type="dxa"/>
            </w:tcMar>
            <w:hideMark/>
          </w:tcPr>
          <w:p w14:paraId="061C4A54" w14:textId="77777777" w:rsidR="00397F90" w:rsidRPr="00397F90" w:rsidRDefault="00397F90" w:rsidP="00397F90">
            <w:pPr>
              <w:spacing w:after="0" w:line="240" w:lineRule="auto"/>
              <w:rPr>
                <w:color w:val="333333"/>
                <w:sz w:val="16"/>
                <w:szCs w:val="16"/>
                <w:lang w:eastAsia="nl-BE"/>
              </w:rPr>
            </w:pPr>
            <w:r w:rsidRPr="00397F90">
              <w:rPr>
                <w:color w:val="333333"/>
                <w:sz w:val="16"/>
                <w:szCs w:val="16"/>
                <w:lang w:eastAsia="nl-BE"/>
              </w:rPr>
              <w:t>Beginuur</w:t>
            </w:r>
          </w:p>
        </w:tc>
        <w:tc>
          <w:tcPr>
            <w:tcW w:w="500" w:type="pct"/>
            <w:shd w:val="clear" w:color="auto" w:fill="FFFFFF"/>
            <w:tcMar>
              <w:top w:w="120" w:type="dxa"/>
              <w:left w:w="120" w:type="dxa"/>
              <w:bottom w:w="120" w:type="dxa"/>
              <w:right w:w="120" w:type="dxa"/>
            </w:tcMar>
            <w:hideMark/>
          </w:tcPr>
          <w:p w14:paraId="065C2FAB" w14:textId="77777777" w:rsidR="00397F90" w:rsidRPr="00397F90" w:rsidRDefault="00397F90" w:rsidP="00397F90">
            <w:pPr>
              <w:spacing w:after="0" w:line="240" w:lineRule="auto"/>
              <w:rPr>
                <w:color w:val="333333"/>
                <w:sz w:val="16"/>
                <w:szCs w:val="16"/>
                <w:lang w:eastAsia="nl-BE"/>
              </w:rPr>
            </w:pPr>
            <w:r w:rsidRPr="00397F90">
              <w:rPr>
                <w:color w:val="333333"/>
                <w:sz w:val="16"/>
                <w:szCs w:val="16"/>
                <w:lang w:eastAsia="nl-BE"/>
              </w:rPr>
              <w:t>Einduur</w:t>
            </w:r>
          </w:p>
        </w:tc>
        <w:tc>
          <w:tcPr>
            <w:tcW w:w="2750" w:type="pct"/>
            <w:shd w:val="clear" w:color="auto" w:fill="FFFFFF"/>
            <w:tcMar>
              <w:top w:w="120" w:type="dxa"/>
              <w:left w:w="120" w:type="dxa"/>
              <w:bottom w:w="120" w:type="dxa"/>
              <w:right w:w="120" w:type="dxa"/>
            </w:tcMar>
            <w:hideMark/>
          </w:tcPr>
          <w:p w14:paraId="199D5A9C" w14:textId="77777777" w:rsidR="00397F90" w:rsidRPr="00397F90" w:rsidRDefault="00397F90" w:rsidP="00397F90">
            <w:pPr>
              <w:spacing w:after="0" w:line="240" w:lineRule="auto"/>
              <w:rPr>
                <w:color w:val="333333"/>
                <w:sz w:val="16"/>
                <w:szCs w:val="16"/>
                <w:lang w:eastAsia="nl-BE"/>
              </w:rPr>
            </w:pPr>
            <w:r w:rsidRPr="00397F90">
              <w:rPr>
                <w:color w:val="333333"/>
                <w:sz w:val="16"/>
                <w:szCs w:val="16"/>
                <w:lang w:eastAsia="nl-BE"/>
              </w:rPr>
              <w:t>Locatie</w:t>
            </w:r>
          </w:p>
        </w:tc>
      </w:tr>
      <w:tr w:rsidR="00397F90" w:rsidRPr="00397F90" w14:paraId="5C162458" w14:textId="77777777" w:rsidTr="00397F90">
        <w:trPr>
          <w:trHeight w:val="877"/>
        </w:trPr>
        <w:tc>
          <w:tcPr>
            <w:tcW w:w="0" w:type="auto"/>
            <w:tcBorders>
              <w:top w:val="single" w:sz="8" w:space="0" w:color="DDDDDD"/>
              <w:left w:val="nil"/>
              <w:bottom w:val="nil"/>
              <w:right w:val="nil"/>
            </w:tcBorders>
            <w:shd w:val="clear" w:color="auto" w:fill="F9F9F9"/>
            <w:tcMar>
              <w:top w:w="120" w:type="dxa"/>
              <w:left w:w="120" w:type="dxa"/>
              <w:bottom w:w="120" w:type="dxa"/>
              <w:right w:w="120" w:type="dxa"/>
            </w:tcMar>
            <w:hideMark/>
          </w:tcPr>
          <w:p w14:paraId="444DE17F" w14:textId="77777777" w:rsidR="00397F90" w:rsidRPr="00397F90" w:rsidRDefault="00397F90" w:rsidP="00397F90">
            <w:pPr>
              <w:spacing w:after="0" w:line="240" w:lineRule="auto"/>
              <w:rPr>
                <w:color w:val="333333"/>
                <w:sz w:val="16"/>
                <w:szCs w:val="16"/>
                <w:lang w:eastAsia="nl-BE"/>
              </w:rPr>
            </w:pPr>
            <w:r w:rsidRPr="00397F90">
              <w:rPr>
                <w:color w:val="333333"/>
                <w:sz w:val="16"/>
                <w:szCs w:val="16"/>
                <w:lang w:eastAsia="nl-BE"/>
              </w:rPr>
              <w:t>vrijdag 5 maart 2021</w:t>
            </w:r>
          </w:p>
        </w:tc>
        <w:tc>
          <w:tcPr>
            <w:tcW w:w="0" w:type="auto"/>
            <w:tcBorders>
              <w:top w:val="single" w:sz="8" w:space="0" w:color="DDDDDD"/>
              <w:left w:val="nil"/>
              <w:bottom w:val="nil"/>
              <w:right w:val="nil"/>
            </w:tcBorders>
            <w:shd w:val="clear" w:color="auto" w:fill="F9F9F9"/>
            <w:tcMar>
              <w:top w:w="120" w:type="dxa"/>
              <w:left w:w="120" w:type="dxa"/>
              <w:bottom w:w="120" w:type="dxa"/>
              <w:right w:w="120" w:type="dxa"/>
            </w:tcMar>
            <w:hideMark/>
          </w:tcPr>
          <w:p w14:paraId="7AD0A424" w14:textId="77777777" w:rsidR="00397F90" w:rsidRPr="00397F90" w:rsidRDefault="00397F90" w:rsidP="00397F90">
            <w:pPr>
              <w:spacing w:after="0" w:line="240" w:lineRule="auto"/>
              <w:rPr>
                <w:color w:val="333333"/>
                <w:sz w:val="16"/>
                <w:szCs w:val="16"/>
                <w:lang w:eastAsia="nl-BE"/>
              </w:rPr>
            </w:pPr>
            <w:r w:rsidRPr="00397F90">
              <w:rPr>
                <w:color w:val="333333"/>
                <w:sz w:val="16"/>
                <w:szCs w:val="16"/>
                <w:lang w:eastAsia="nl-BE"/>
              </w:rPr>
              <w:t>09:00u</w:t>
            </w:r>
          </w:p>
        </w:tc>
        <w:tc>
          <w:tcPr>
            <w:tcW w:w="0" w:type="auto"/>
            <w:tcBorders>
              <w:top w:val="single" w:sz="8" w:space="0" w:color="DDDDDD"/>
              <w:left w:val="nil"/>
              <w:bottom w:val="nil"/>
              <w:right w:val="nil"/>
            </w:tcBorders>
            <w:shd w:val="clear" w:color="auto" w:fill="F9F9F9"/>
            <w:tcMar>
              <w:top w:w="120" w:type="dxa"/>
              <w:left w:w="120" w:type="dxa"/>
              <w:bottom w:w="120" w:type="dxa"/>
              <w:right w:w="120" w:type="dxa"/>
            </w:tcMar>
            <w:hideMark/>
          </w:tcPr>
          <w:p w14:paraId="31360592" w14:textId="77777777" w:rsidR="00397F90" w:rsidRPr="00397F90" w:rsidRDefault="00397F90" w:rsidP="00397F90">
            <w:pPr>
              <w:spacing w:after="0" w:line="240" w:lineRule="auto"/>
              <w:rPr>
                <w:color w:val="333333"/>
                <w:sz w:val="16"/>
                <w:szCs w:val="16"/>
                <w:lang w:eastAsia="nl-BE"/>
              </w:rPr>
            </w:pPr>
            <w:r w:rsidRPr="00397F90">
              <w:rPr>
                <w:color w:val="333333"/>
                <w:sz w:val="16"/>
                <w:szCs w:val="16"/>
                <w:lang w:eastAsia="nl-BE"/>
              </w:rPr>
              <w:t>16:00u</w:t>
            </w:r>
          </w:p>
        </w:tc>
        <w:tc>
          <w:tcPr>
            <w:tcW w:w="0" w:type="auto"/>
            <w:tcBorders>
              <w:top w:val="single" w:sz="8" w:space="0" w:color="DDDDDD"/>
              <w:left w:val="nil"/>
              <w:bottom w:val="nil"/>
              <w:right w:val="nil"/>
            </w:tcBorders>
            <w:shd w:val="clear" w:color="auto" w:fill="F9F9F9"/>
            <w:tcMar>
              <w:top w:w="120" w:type="dxa"/>
              <w:left w:w="120" w:type="dxa"/>
              <w:bottom w:w="120" w:type="dxa"/>
              <w:right w:w="120" w:type="dxa"/>
            </w:tcMar>
            <w:hideMark/>
          </w:tcPr>
          <w:p w14:paraId="00807BB3" w14:textId="77777777" w:rsidR="00397F90" w:rsidRPr="00397F90" w:rsidRDefault="00397F90" w:rsidP="00397F90">
            <w:pPr>
              <w:spacing w:after="0" w:line="240" w:lineRule="auto"/>
              <w:rPr>
                <w:color w:val="333333"/>
                <w:sz w:val="16"/>
                <w:szCs w:val="16"/>
                <w:lang w:eastAsia="nl-BE"/>
              </w:rPr>
            </w:pPr>
            <w:r w:rsidRPr="00397F90">
              <w:rPr>
                <w:color w:val="333333"/>
                <w:sz w:val="16"/>
                <w:szCs w:val="16"/>
                <w:lang w:eastAsia="nl-BE"/>
              </w:rPr>
              <w:t>Universiteit Antwerpen, Boogkeers 5 (aan het Mechelseplein), 2000 Antwerpen, lokaal 203 (tweede verdieping)</w:t>
            </w:r>
          </w:p>
        </w:tc>
      </w:tr>
    </w:tbl>
    <w:p w14:paraId="62E1A0C8" w14:textId="77777777" w:rsidR="00956EE3" w:rsidRPr="00397F90" w:rsidRDefault="00956EE3" w:rsidP="00397F90">
      <w:pPr>
        <w:spacing w:after="0" w:line="240" w:lineRule="auto"/>
        <w:rPr>
          <w:sz w:val="16"/>
          <w:szCs w:val="16"/>
        </w:rPr>
      </w:pPr>
    </w:p>
    <w:sectPr w:rsidR="00956EE3" w:rsidRPr="00397F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6067CD"/>
    <w:multiLevelType w:val="multilevel"/>
    <w:tmpl w:val="F4C860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292764"/>
    <w:multiLevelType w:val="multilevel"/>
    <w:tmpl w:val="CF12A1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EE3"/>
    <w:rsid w:val="00155399"/>
    <w:rsid w:val="00256F78"/>
    <w:rsid w:val="00337264"/>
    <w:rsid w:val="0037709E"/>
    <w:rsid w:val="00397F90"/>
    <w:rsid w:val="006F1CE9"/>
    <w:rsid w:val="008C2298"/>
    <w:rsid w:val="00956EE3"/>
    <w:rsid w:val="00C6069F"/>
    <w:rsid w:val="00CC6E4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E3761"/>
  <w15:chartTrackingRefBased/>
  <w15:docId w15:val="{9655390F-973A-4ADD-98A1-264E8389E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956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semiHidden/>
    <w:unhideWhenUsed/>
    <w:rsid w:val="00397F9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874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tamara.bonne@uantwerpen.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1421C1EF25CB4A8FE41B2B27491539" ma:contentTypeVersion="10" ma:contentTypeDescription="Een nieuw document maken." ma:contentTypeScope="" ma:versionID="53975ec1817a796de3e2644f544ab159">
  <xsd:schema xmlns:xsd="http://www.w3.org/2001/XMLSchema" xmlns:xs="http://www.w3.org/2001/XMLSchema" xmlns:p="http://schemas.microsoft.com/office/2006/metadata/properties" xmlns:ns3="347d6805-a26d-416b-a021-3aaa54a4e7bf" targetNamespace="http://schemas.microsoft.com/office/2006/metadata/properties" ma:root="true" ma:fieldsID="3b05e8498f06ef5a309b813238e59869" ns3:_="">
    <xsd:import namespace="347d6805-a26d-416b-a021-3aaa54a4e7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d6805-a26d-416b-a021-3aaa54a4e7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CCABCE-2674-4234-86C5-99A826927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F99DB6-C46C-44E4-B8E2-105BC8A0A50D}">
  <ds:schemaRefs>
    <ds:schemaRef ds:uri="http://schemas.microsoft.com/sharepoint/v3/contenttype/forms"/>
  </ds:schemaRefs>
</ds:datastoreItem>
</file>

<file path=customXml/itemProps3.xml><?xml version="1.0" encoding="utf-8"?>
<ds:datastoreItem xmlns:ds="http://schemas.openxmlformats.org/officeDocument/2006/customXml" ds:itemID="{9D7AC39C-5909-4629-B4BD-E7812259D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7d6805-a26d-416b-a021-3aaa54a4e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581</Words>
  <Characters>3196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Beheerder</dc:creator>
  <cp:keywords/>
  <dc:description/>
  <cp:lastModifiedBy>Directie 't Luikertje</cp:lastModifiedBy>
  <cp:revision>6</cp:revision>
  <dcterms:created xsi:type="dcterms:W3CDTF">2020-05-31T15:25:00Z</dcterms:created>
  <dcterms:modified xsi:type="dcterms:W3CDTF">2020-06-11T13:00:00Z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0x0101009E1421C1EF25CB4A8FE41B2B27491539</vt:lpwstr>
  </property>
</Properties>
</file>